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5A" w:rsidRPr="00E57FEF" w:rsidRDefault="00251033" w:rsidP="00E57FEF">
      <w:pPr>
        <w:jc w:val="center"/>
        <w:rPr>
          <w:rFonts w:ascii="方正小标宋简体" w:eastAsia="方正小标宋简体"/>
          <w:sz w:val="44"/>
          <w:szCs w:val="44"/>
        </w:rPr>
      </w:pPr>
      <w:r w:rsidRPr="00E57FEF">
        <w:rPr>
          <w:rFonts w:ascii="方正小标宋简体" w:eastAsia="方正小标宋简体" w:hint="eastAsia"/>
          <w:sz w:val="44"/>
          <w:szCs w:val="44"/>
        </w:rPr>
        <w:t>财政电子票据获取</w:t>
      </w:r>
      <w:r w:rsidR="00EC49D0" w:rsidRPr="00E57FEF">
        <w:rPr>
          <w:rFonts w:ascii="方正小标宋简体" w:eastAsia="方正小标宋简体" w:hint="eastAsia"/>
          <w:sz w:val="44"/>
          <w:szCs w:val="44"/>
        </w:rPr>
        <w:t>操作流程</w:t>
      </w:r>
    </w:p>
    <w:p w:rsidR="00962DDD" w:rsidRDefault="00962DDD" w:rsidP="00962DDD">
      <w:pPr>
        <w:ind w:firstLineChars="1450" w:firstLine="3045"/>
      </w:pPr>
    </w:p>
    <w:p w:rsidR="009C06AB" w:rsidRPr="00E57FEF" w:rsidRDefault="009C06AB" w:rsidP="00E57FEF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E57FEF">
        <w:rPr>
          <w:rFonts w:ascii="黑体" w:eastAsia="黑体" w:hAnsi="黑体" w:hint="eastAsia"/>
          <w:color w:val="000000"/>
          <w:sz w:val="32"/>
          <w:szCs w:val="32"/>
        </w:rPr>
        <w:t>一、</w:t>
      </w:r>
      <w:r w:rsidR="00D5797F" w:rsidRPr="00E57FEF">
        <w:rPr>
          <w:rFonts w:ascii="黑体" w:eastAsia="黑体" w:hAnsi="黑体" w:hint="eastAsia"/>
          <w:color w:val="000000"/>
          <w:sz w:val="32"/>
          <w:szCs w:val="32"/>
        </w:rPr>
        <w:t>可获取</w:t>
      </w:r>
      <w:r w:rsidR="00962DDD" w:rsidRPr="00E57FEF">
        <w:rPr>
          <w:rFonts w:ascii="黑体" w:eastAsia="黑体" w:hAnsi="黑体" w:hint="eastAsia"/>
          <w:color w:val="000000"/>
          <w:sz w:val="32"/>
          <w:szCs w:val="32"/>
        </w:rPr>
        <w:t>财政电子票据</w:t>
      </w:r>
      <w:r w:rsidR="00E57FEF">
        <w:rPr>
          <w:rFonts w:ascii="黑体" w:eastAsia="黑体" w:hAnsi="黑体" w:hint="eastAsia"/>
          <w:color w:val="000000"/>
          <w:sz w:val="32"/>
          <w:szCs w:val="32"/>
        </w:rPr>
        <w:t>的</w:t>
      </w:r>
      <w:r w:rsidRPr="00E57FEF">
        <w:rPr>
          <w:rFonts w:ascii="黑体" w:eastAsia="黑体" w:hAnsi="黑体" w:hint="eastAsia"/>
          <w:color w:val="000000"/>
          <w:sz w:val="32"/>
          <w:szCs w:val="32"/>
        </w:rPr>
        <w:t>种类</w:t>
      </w:r>
    </w:p>
    <w:p w:rsidR="00962DDD" w:rsidRPr="00E57FEF" w:rsidRDefault="00962DDD" w:rsidP="00E57FEF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57F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云南省行政事业资金往来结算票据（电子）</w:t>
      </w:r>
      <w:r w:rsidR="00E57F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E57F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云南省非税收</w:t>
      </w:r>
      <w:proofErr w:type="gramStart"/>
      <w:r w:rsidRPr="00E57F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入统一</w:t>
      </w:r>
      <w:proofErr w:type="gramEnd"/>
      <w:r w:rsidRPr="00E57F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票据（电子）</w:t>
      </w:r>
      <w:r w:rsidR="00E57F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E57F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云南省公益事业捐赠统一票据（电子）</w:t>
      </w:r>
    </w:p>
    <w:p w:rsidR="00E57FEF" w:rsidRDefault="009C06AB" w:rsidP="00E57FEF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E57FEF">
        <w:rPr>
          <w:rFonts w:ascii="黑体" w:eastAsia="黑体" w:hAnsi="黑体" w:hint="eastAsia"/>
          <w:color w:val="000000"/>
          <w:sz w:val="32"/>
          <w:szCs w:val="32"/>
        </w:rPr>
        <w:t>二、注意事项</w:t>
      </w:r>
    </w:p>
    <w:p w:rsidR="00962DDD" w:rsidRPr="00E57FEF" w:rsidRDefault="009C06AB" w:rsidP="00E57FEF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57F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缴款人需提供正确的</w:t>
      </w:r>
      <w:r w:rsidR="00E57F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手机</w:t>
      </w:r>
      <w:r w:rsidRPr="00E57F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电话号码，否则将无法及时获取电子票据信息。</w:t>
      </w:r>
    </w:p>
    <w:p w:rsidR="00962DDD" w:rsidRPr="00E57FEF" w:rsidRDefault="009C06AB" w:rsidP="00E57FEF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E57FEF">
        <w:rPr>
          <w:rFonts w:ascii="黑体" w:eastAsia="黑体" w:hAnsi="黑体" w:hint="eastAsia"/>
          <w:color w:val="000000"/>
          <w:sz w:val="32"/>
          <w:szCs w:val="32"/>
        </w:rPr>
        <w:t>三、电子票据</w:t>
      </w:r>
      <w:r w:rsidR="00962DDD" w:rsidRPr="00E57FEF">
        <w:rPr>
          <w:rFonts w:ascii="黑体" w:eastAsia="黑体" w:hAnsi="黑体" w:hint="eastAsia"/>
          <w:color w:val="000000"/>
          <w:sz w:val="32"/>
          <w:szCs w:val="32"/>
        </w:rPr>
        <w:t>获取方法</w:t>
      </w:r>
    </w:p>
    <w:p w:rsidR="00962DDD" w:rsidRPr="00E57FEF" w:rsidRDefault="00962DDD" w:rsidP="00E57FEF">
      <w:pPr>
        <w:ind w:firstLineChars="250" w:firstLine="80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57F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缴款人</w:t>
      </w:r>
      <w:r w:rsidR="00EC49D0" w:rsidRPr="00E57F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使用 </w:t>
      </w:r>
      <w:proofErr w:type="gramStart"/>
      <w:r w:rsidRPr="00E57F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“电子票夹”微信小</w:t>
      </w:r>
      <w:proofErr w:type="gramEnd"/>
      <w:r w:rsidRPr="00E57F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程序</w:t>
      </w:r>
      <w:r w:rsidR="00EC49D0" w:rsidRPr="00E57F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查看电子票据，‘电子票夹’小程序可以查询</w:t>
      </w:r>
      <w:r w:rsidR="009D7B01" w:rsidRPr="00E57F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缴款人本人申请</w:t>
      </w:r>
      <w:r w:rsidR="00EC49D0" w:rsidRPr="00E57F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开过的</w:t>
      </w:r>
      <w:r w:rsidR="009D7B01" w:rsidRPr="00E57F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所有</w:t>
      </w:r>
      <w:r w:rsidR="00EC49D0" w:rsidRPr="00E57F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财政电子票据。</w:t>
      </w:r>
    </w:p>
    <w:p w:rsidR="00EC49D0" w:rsidRPr="00E57FEF" w:rsidRDefault="00EC49D0" w:rsidP="00E57FEF">
      <w:pPr>
        <w:ind w:firstLineChars="250" w:firstLine="80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57F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1、缴款人</w:t>
      </w:r>
      <w:proofErr w:type="gramStart"/>
      <w:r w:rsidRPr="00E57F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使用微信搜索</w:t>
      </w:r>
      <w:proofErr w:type="gramEnd"/>
      <w:r w:rsidRPr="00E57F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“电子票夹”小程序</w:t>
      </w:r>
    </w:p>
    <w:p w:rsidR="00962DDD" w:rsidRDefault="00962DDD" w:rsidP="00E57FEF">
      <w:pPr>
        <w:ind w:firstLineChars="950" w:firstLine="1995"/>
      </w:pPr>
      <w:r>
        <w:rPr>
          <w:noProof/>
        </w:rPr>
        <w:drawing>
          <wp:inline distT="0" distB="0" distL="0" distR="0">
            <wp:extent cx="2922042" cy="2415653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990" cy="241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B01" w:rsidRDefault="009D7B01" w:rsidP="00962DDD"/>
    <w:p w:rsidR="009D7B01" w:rsidRDefault="009D7B01" w:rsidP="00962DDD"/>
    <w:p w:rsidR="00E57FEF" w:rsidRDefault="00E57FEF" w:rsidP="00E57FEF">
      <w:pPr>
        <w:ind w:firstLineChars="250" w:firstLine="80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962DDD" w:rsidRPr="00E57FEF" w:rsidRDefault="00962DDD" w:rsidP="00E57FEF">
      <w:pPr>
        <w:ind w:firstLineChars="250" w:firstLine="80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57F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2</w:t>
      </w:r>
      <w:r w:rsidR="00EC49D0" w:rsidRPr="00E57F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E57F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根据提示</w:t>
      </w:r>
      <w:r w:rsidR="007616A5" w:rsidRPr="00E57F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注册个人</w:t>
      </w:r>
      <w:proofErr w:type="gramStart"/>
      <w:r w:rsidR="007616A5" w:rsidRPr="00E57F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帐号</w:t>
      </w:r>
      <w:proofErr w:type="gramEnd"/>
    </w:p>
    <w:p w:rsidR="007616A5" w:rsidRDefault="009D61C1" w:rsidP="00E57FEF">
      <w:pPr>
        <w:ind w:firstLineChars="1100" w:firstLine="2310"/>
      </w:pP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2050" type="#_x0000_t63" style="position:absolute;left:0;text-align:left;margin-left:201.75pt;margin-top:121.95pt;width:111.75pt;height:27.4pt;z-index:251658240" adj="3528,32597">
            <v:textbox style="mso-next-textbox:#_x0000_s2050">
              <w:txbxContent>
                <w:p w:rsidR="00962DDD" w:rsidRPr="007616A5" w:rsidRDefault="007616A5" w:rsidP="00962DDD">
                  <w:pPr>
                    <w:jc w:val="center"/>
                    <w:rPr>
                      <w:sz w:val="15"/>
                      <w:szCs w:val="15"/>
                    </w:rPr>
                  </w:pPr>
                  <w:r w:rsidRPr="007616A5">
                    <w:rPr>
                      <w:rFonts w:hint="eastAsia"/>
                      <w:sz w:val="15"/>
                      <w:szCs w:val="15"/>
                    </w:rPr>
                    <w:t>点击“登录</w:t>
                  </w:r>
                  <w:r w:rsidRPr="007616A5">
                    <w:rPr>
                      <w:rFonts w:hint="eastAsia"/>
                      <w:sz w:val="15"/>
                      <w:szCs w:val="15"/>
                    </w:rPr>
                    <w:t>/</w:t>
                  </w:r>
                  <w:r w:rsidRPr="007616A5">
                    <w:rPr>
                      <w:rFonts w:hint="eastAsia"/>
                      <w:sz w:val="15"/>
                      <w:szCs w:val="15"/>
                    </w:rPr>
                    <w:t>注册”</w:t>
                  </w:r>
                </w:p>
              </w:txbxContent>
            </v:textbox>
          </v:shape>
        </w:pict>
      </w:r>
      <w:r w:rsidR="00962DDD">
        <w:rPr>
          <w:noProof/>
        </w:rPr>
        <w:drawing>
          <wp:inline distT="0" distB="0" distL="0" distR="0">
            <wp:extent cx="2294245" cy="2190466"/>
            <wp:effectExtent l="1905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287" cy="2191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16A5">
        <w:rPr>
          <w:rFonts w:hint="eastAsia"/>
        </w:rPr>
        <w:t xml:space="preserve">   </w:t>
      </w:r>
    </w:p>
    <w:p w:rsidR="007616A5" w:rsidRPr="00E57FEF" w:rsidRDefault="007616A5" w:rsidP="00E57FEF">
      <w:pPr>
        <w:ind w:firstLineChars="250" w:firstLine="80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57F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</w:t>
      </w:r>
      <w:r w:rsidR="00737089" w:rsidRPr="00E57F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注册</w:t>
      </w:r>
      <w:r w:rsidR="00E57F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完成</w:t>
      </w:r>
      <w:r w:rsidR="00737089" w:rsidRPr="00E57F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后点击“开始使用”进入下一步</w:t>
      </w:r>
    </w:p>
    <w:p w:rsidR="007616A5" w:rsidRDefault="007616A5" w:rsidP="00E57FEF">
      <w:pPr>
        <w:ind w:firstLineChars="1150" w:firstLine="2415"/>
      </w:pPr>
      <w:r>
        <w:rPr>
          <w:noProof/>
        </w:rPr>
        <w:drawing>
          <wp:inline distT="0" distB="0" distL="0" distR="0">
            <wp:extent cx="2171416" cy="2694819"/>
            <wp:effectExtent l="19050" t="0" r="284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47" cy="2707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6014">
        <w:rPr>
          <w:rFonts w:hint="eastAsia"/>
        </w:rPr>
        <w:t xml:space="preserve"> </w:t>
      </w:r>
    </w:p>
    <w:p w:rsidR="009C06AB" w:rsidRPr="00E57FEF" w:rsidRDefault="009C06AB" w:rsidP="00E57FEF">
      <w:pPr>
        <w:ind w:firstLineChars="250" w:firstLine="80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57F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4. </w:t>
      </w:r>
      <w:r w:rsidR="009D7B01" w:rsidRPr="00E57F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点击界面下方的“票夹”按钮，进入票据列表界面</w:t>
      </w:r>
    </w:p>
    <w:p w:rsidR="009C06AB" w:rsidRDefault="009D61C1" w:rsidP="00FD4497">
      <w:pPr>
        <w:ind w:firstLineChars="450" w:firstLine="945"/>
      </w:pPr>
      <w:r>
        <w:rPr>
          <w:noProof/>
        </w:rPr>
        <w:pict>
          <v:shape id="_x0000_s2051" type="#_x0000_t63" style="position:absolute;left:0;text-align:left;margin-left:109.7pt;margin-top:139.3pt;width:92.05pt;height:29.2pt;flip:y;z-index:251659264" adj="7063,-11614">
            <v:textbox style="mso-next-textbox:#_x0000_s2051">
              <w:txbxContent>
                <w:p w:rsidR="009D7B01" w:rsidRPr="007616A5" w:rsidRDefault="009D7B01" w:rsidP="009D7B01">
                  <w:pPr>
                    <w:jc w:val="center"/>
                    <w:rPr>
                      <w:sz w:val="15"/>
                      <w:szCs w:val="15"/>
                    </w:rPr>
                  </w:pPr>
                  <w:r w:rsidRPr="007616A5">
                    <w:rPr>
                      <w:rFonts w:hint="eastAsia"/>
                      <w:sz w:val="15"/>
                      <w:szCs w:val="15"/>
                    </w:rPr>
                    <w:t>点击“</w:t>
                  </w:r>
                  <w:r>
                    <w:rPr>
                      <w:rFonts w:hint="eastAsia"/>
                      <w:sz w:val="15"/>
                      <w:szCs w:val="15"/>
                    </w:rPr>
                    <w:t>票夹</w:t>
                  </w:r>
                  <w:r w:rsidRPr="007616A5">
                    <w:rPr>
                      <w:rFonts w:hint="eastAsia"/>
                      <w:sz w:val="15"/>
                      <w:szCs w:val="15"/>
                    </w:rPr>
                    <w:t>”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2" type="#_x0000_t63" style="position:absolute;left:0;text-align:left;margin-left:331.8pt;margin-top:133.2pt;width:113.9pt;height:64.5pt;flip:y;z-index:251660288" adj="2768,28816">
            <v:textbox style="mso-next-textbox:#_x0000_s2052">
              <w:txbxContent>
                <w:p w:rsidR="00C83656" w:rsidRPr="007616A5" w:rsidRDefault="00C83656" w:rsidP="00C83656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所有已开出的电子票据会显示在这个界面</w:t>
                  </w:r>
                </w:p>
              </w:txbxContent>
            </v:textbox>
          </v:shape>
        </w:pict>
      </w:r>
      <w:r w:rsidR="009C06AB" w:rsidRPr="009C06AB">
        <w:rPr>
          <w:rFonts w:hint="eastAsia"/>
          <w:noProof/>
        </w:rPr>
        <w:drawing>
          <wp:inline distT="0" distB="0" distL="0" distR="0">
            <wp:extent cx="2171416" cy="2448716"/>
            <wp:effectExtent l="19050" t="0" r="284" b="0"/>
            <wp:docPr id="7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727" cy="2451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7B01">
        <w:rPr>
          <w:rFonts w:hint="eastAsia"/>
        </w:rPr>
        <w:t xml:space="preserve">  </w:t>
      </w:r>
      <w:r w:rsidR="00C83656">
        <w:rPr>
          <w:rFonts w:hint="eastAsia"/>
        </w:rPr>
        <w:t xml:space="preserve">    </w:t>
      </w:r>
      <w:r w:rsidR="009D7B01">
        <w:rPr>
          <w:rFonts w:hint="eastAsia"/>
        </w:rPr>
        <w:t xml:space="preserve"> </w:t>
      </w:r>
      <w:r w:rsidR="009D7B01">
        <w:rPr>
          <w:rFonts w:hint="eastAsia"/>
          <w:noProof/>
        </w:rPr>
        <w:drawing>
          <wp:inline distT="0" distB="0" distL="0" distR="0">
            <wp:extent cx="1898461" cy="2415654"/>
            <wp:effectExtent l="19050" t="0" r="6539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285" cy="2421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656" w:rsidRPr="00FD4497" w:rsidRDefault="00C83656" w:rsidP="00FD4497">
      <w:pPr>
        <w:ind w:firstLineChars="250" w:firstLine="80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D449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5.点击选中需要查看的信息</w:t>
      </w:r>
    </w:p>
    <w:p w:rsidR="00C83656" w:rsidRDefault="009D61C1" w:rsidP="00FD4497">
      <w:pPr>
        <w:ind w:firstLineChars="200" w:firstLine="420"/>
      </w:pPr>
      <w:r>
        <w:rPr>
          <w:noProof/>
        </w:rPr>
        <w:pict>
          <v:shape id="_x0000_s2053" type="#_x0000_t63" style="position:absolute;left:0;text-align:left;margin-left:32.95pt;margin-top:160.1pt;width:137.9pt;height:63.4pt;flip:y;z-index:251661312" adj="5286,25415">
            <v:textbox style="mso-next-textbox:#_x0000_s2053">
              <w:txbxContent>
                <w:p w:rsidR="00C83656" w:rsidRPr="007616A5" w:rsidRDefault="00C83656" w:rsidP="00C83656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点击选中信息条，可以查看更详细的票据内容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4" type="#_x0000_t63" style="position:absolute;left:0;text-align:left;margin-left:287.2pt;margin-top:188.6pt;width:102.6pt;height:34.9pt;flip:y;z-index:251662336" adj="536,32338">
            <v:textbox style="mso-next-textbox:#_x0000_s2054">
              <w:txbxContent>
                <w:p w:rsidR="00C83656" w:rsidRPr="007616A5" w:rsidRDefault="00C83656" w:rsidP="00C83656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点击“查看电子票”</w:t>
                  </w:r>
                </w:p>
              </w:txbxContent>
            </v:textbox>
          </v:shape>
        </w:pict>
      </w:r>
      <w:r w:rsidR="00C83656" w:rsidRPr="00C83656">
        <w:rPr>
          <w:rFonts w:hint="eastAsia"/>
          <w:noProof/>
        </w:rPr>
        <w:drawing>
          <wp:inline distT="0" distB="0" distL="0" distR="0">
            <wp:extent cx="1898461" cy="3241343"/>
            <wp:effectExtent l="19050" t="0" r="6539" b="0"/>
            <wp:docPr id="11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285" cy="32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4497">
        <w:rPr>
          <w:rFonts w:hint="eastAsia"/>
        </w:rPr>
        <w:t xml:space="preserve">      </w:t>
      </w:r>
      <w:r w:rsidR="00C83656">
        <w:rPr>
          <w:rFonts w:hint="eastAsia"/>
        </w:rPr>
        <w:t xml:space="preserve">         </w:t>
      </w:r>
      <w:r w:rsidR="00C83656">
        <w:rPr>
          <w:rFonts w:hint="eastAsia"/>
          <w:noProof/>
        </w:rPr>
        <w:drawing>
          <wp:inline distT="0" distB="0" distL="0" distR="0">
            <wp:extent cx="1734687" cy="3241344"/>
            <wp:effectExtent l="1905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577" cy="3241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FEF" w:rsidRDefault="00E57FEF" w:rsidP="00962DDD"/>
    <w:p w:rsidR="00FD4497" w:rsidRDefault="00E57FEF" w:rsidP="00962DDD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D449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6. 在票据预览界面进行票据下载或</w:t>
      </w:r>
      <w:r w:rsidR="00FD449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将电子票</w:t>
      </w:r>
      <w:r w:rsidRPr="00FD449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推送到</w:t>
      </w:r>
      <w:r w:rsidR="00FD449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指定</w:t>
      </w:r>
      <w:r w:rsidRPr="00FD449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的电子邮箱再进行下载保存即可</w:t>
      </w:r>
    </w:p>
    <w:p w:rsidR="00E57FEF" w:rsidRDefault="00E57FEF" w:rsidP="00FD4497">
      <w:pPr>
        <w:ind w:firstLineChars="1100" w:firstLine="2310"/>
      </w:pPr>
      <w:r>
        <w:rPr>
          <w:noProof/>
        </w:rPr>
        <w:drawing>
          <wp:inline distT="0" distB="0" distL="0" distR="0">
            <wp:extent cx="2369309" cy="3220872"/>
            <wp:effectExtent l="1905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425" cy="32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497" w:rsidRDefault="00FD4497" w:rsidP="00E57FEF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E57FEF" w:rsidRDefault="00E57FEF" w:rsidP="00962DDD"/>
    <w:sectPr w:rsidR="00E57FEF" w:rsidSect="00356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B8D" w:rsidRDefault="007A1B8D" w:rsidP="00251033">
      <w:r>
        <w:separator/>
      </w:r>
    </w:p>
  </w:endnote>
  <w:endnote w:type="continuationSeparator" w:id="0">
    <w:p w:rsidR="007A1B8D" w:rsidRDefault="007A1B8D" w:rsidP="00251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B8D" w:rsidRDefault="007A1B8D" w:rsidP="00251033">
      <w:r>
        <w:separator/>
      </w:r>
    </w:p>
  </w:footnote>
  <w:footnote w:type="continuationSeparator" w:id="0">
    <w:p w:rsidR="007A1B8D" w:rsidRDefault="007A1B8D" w:rsidP="002510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033"/>
    <w:rsid w:val="00223E13"/>
    <w:rsid w:val="00251033"/>
    <w:rsid w:val="00356B5A"/>
    <w:rsid w:val="004C1C0D"/>
    <w:rsid w:val="00550EE5"/>
    <w:rsid w:val="006F7910"/>
    <w:rsid w:val="00733E75"/>
    <w:rsid w:val="00737089"/>
    <w:rsid w:val="00750643"/>
    <w:rsid w:val="0075379F"/>
    <w:rsid w:val="007616A5"/>
    <w:rsid w:val="007A1B8D"/>
    <w:rsid w:val="008D6014"/>
    <w:rsid w:val="00962DDD"/>
    <w:rsid w:val="009C06AB"/>
    <w:rsid w:val="009D61C1"/>
    <w:rsid w:val="009D7B01"/>
    <w:rsid w:val="009F11BF"/>
    <w:rsid w:val="00C83656"/>
    <w:rsid w:val="00D23E45"/>
    <w:rsid w:val="00D5797F"/>
    <w:rsid w:val="00E21F01"/>
    <w:rsid w:val="00E57FEF"/>
    <w:rsid w:val="00EC49D0"/>
    <w:rsid w:val="00FD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  <o:rules v:ext="edit">
        <o:r id="V:Rule1" type="callout" idref="#_x0000_s2050"/>
        <o:r id="V:Rule2" type="callout" idref="#_x0000_s2051"/>
        <o:r id="V:Rule3" type="callout" idref="#_x0000_s2052"/>
        <o:r id="V:Rule4" type="callout" idref="#_x0000_s2053"/>
        <o:r id="V:Rule5" type="callout" idref="#_x0000_s2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B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1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10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1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103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2D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2D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范菁</dc:creator>
  <cp:keywords/>
  <dc:description/>
  <cp:lastModifiedBy>范菁</cp:lastModifiedBy>
  <cp:revision>7</cp:revision>
  <cp:lastPrinted>2023-06-07T06:19:00Z</cp:lastPrinted>
  <dcterms:created xsi:type="dcterms:W3CDTF">2023-02-24T01:17:00Z</dcterms:created>
  <dcterms:modified xsi:type="dcterms:W3CDTF">2023-06-20T06:45:00Z</dcterms:modified>
</cp:coreProperties>
</file>